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left="-426" w:right="-5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COMPLETA ESTE DOCUMENTO EN SU TOTALIDAD, ACORDE A LAS BASES TÉCNICAS, Y</w:t>
      </w:r>
    </w:p>
    <w:p w:rsidR="00000000" w:rsidDel="00000000" w:rsidP="00000000" w:rsidRDefault="00000000" w:rsidRPr="00000000" w14:paraId="00000003">
      <w:pPr>
        <w:keepLines w:val="1"/>
        <w:spacing w:after="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SIN FIRMARLO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SÚBELO AL APARTADO CORRESPONDIENTE EN EL FORMULARIO EN LÍNEA</w:t>
      </w:r>
    </w:p>
    <w:p w:rsidR="00000000" w:rsidDel="00000000" w:rsidP="00000000" w:rsidRDefault="00000000" w:rsidRPr="00000000" w14:paraId="00000004">
      <w:pPr>
        <w:keepLines w:val="1"/>
        <w:spacing w:after="24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931"/>
        </w:tabs>
        <w:spacing w:line="276" w:lineRule="auto"/>
        <w:ind w:right="1395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1.- Razón social de la persona jurídica postulante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tal como consta en el RUC)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2.- Coloca enlaces y el número correspondiente por cada componente:</w:t>
      </w:r>
    </w:p>
    <w:p w:rsidR="00000000" w:rsidDel="00000000" w:rsidP="00000000" w:rsidRDefault="00000000" w:rsidRPr="00000000" w14:paraId="0000000A">
      <w:pPr>
        <w:spacing w:after="240" w:line="240" w:lineRule="auto"/>
        <w:jc w:val="both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Considera que quien alcance el mayor número del componente (más años, reconocimientos o  eventos) recibirá el mejor puntaje y el resto se calculará de manera proporcional.</w:t>
      </w:r>
      <w:r w:rsidDel="00000000" w:rsidR="00000000" w:rsidRPr="00000000">
        <w:rPr>
          <w:rtl w:val="0"/>
        </w:rPr>
      </w:r>
    </w:p>
    <w:sdt>
      <w:sdtPr>
        <w:lock w:val="contentLocked"/>
        <w:id w:val="-709627184"/>
        <w:tag w:val="goog_rdk_0"/>
      </w:sdtPr>
      <w:sdtContent>
        <w:tbl>
          <w:tblPr>
            <w:tblStyle w:val="Table1"/>
            <w:tblW w:w="10770.0" w:type="dxa"/>
            <w:jc w:val="left"/>
            <w:tblInd w:w="-102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195"/>
            <w:gridCol w:w="2760"/>
            <w:gridCol w:w="2490"/>
            <w:gridCol w:w="2325"/>
            <w:tblGridChange w:id="0">
              <w:tblGrid>
                <w:gridCol w:w="3195"/>
                <w:gridCol w:w="2760"/>
                <w:gridCol w:w="2490"/>
                <w:gridCol w:w="23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0B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COMPONENTE</w:t>
                </w:r>
              </w:p>
            </w:tc>
            <w:tc>
              <w:tcPr>
                <w:tcBorders>
                  <w:bottom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00C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UNIDAD DE MEDIDA DEL COMPONENTE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D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NÚMERO TOTAL</w:t>
                </w:r>
              </w:p>
              <w:p w:rsidR="00000000" w:rsidDel="00000000" w:rsidP="00000000" w:rsidRDefault="00000000" w:rsidRPr="00000000" w14:paraId="0000000E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0"/>
                    <w:szCs w:val="20"/>
                    <w:rtl w:val="0"/>
                  </w:rPr>
                  <w:t xml:space="preserve">(cantidad de años, reconocimientos, festivales, muestras  o encuentros)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F">
                <w:pPr>
                  <w:pBdr>
                    <w:top w:color="000000" w:space="0" w:sz="0" w:val="none"/>
                    <w:left w:color="000000" w:space="0" w:sz="0" w:val="none"/>
                    <w:bottom w:color="000000" w:space="0" w:sz="0" w:val="none"/>
                    <w:right w:color="000000" w:space="0" w:sz="0" w:val="none"/>
                    <w:between w:color="000000" w:space="0" w:sz="0" w:val="none"/>
                  </w:pBdr>
                  <w:jc w:val="center"/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bCs w:val="1"/>
                    <w:sz w:val="22"/>
                    <w:szCs w:val="22"/>
                    <w:rtl w:val="0"/>
                  </w:rPr>
                  <w:t xml:space="preserve">ENLACE A LOS VERIFICABLES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Trayectoria artística, del representante legal actual o de la personería jurídica vigente.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both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Número de años de actividad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both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Se debe justificar con al menos 1 proyecto artístico o de gestión cultural en la etapa de creación, producción y/o circulación por cada año señalado</w:t>
                </w:r>
              </w:p>
            </w:tc>
            <w:tc>
              <w:tcPr>
                <w:tcBorders>
                  <w:left w:color="000000" w:space="0" w:sz="8" w:val="single"/>
                </w:tcBorders>
                <w:vAlign w:val="top"/>
              </w:tcPr>
              <w:p w:rsidR="00000000" w:rsidDel="00000000" w:rsidP="00000000" w:rsidRDefault="00000000" w:rsidRPr="00000000" w14:paraId="00000013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14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Trayectoria administrativa de espacios culturales, de la personería jurídica vigente o sus miembros legales actuales.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both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Número de años de actividad</w:t>
                </w:r>
              </w:p>
            </w:tc>
            <w:tc>
              <w:tcPr>
                <w:tcBorders>
                  <w:left w:color="000000" w:space="0" w:sz="8" w:val="single"/>
                </w:tcBorders>
                <w:vAlign w:val="top"/>
              </w:tcPr>
              <w:p w:rsidR="00000000" w:rsidDel="00000000" w:rsidP="00000000" w:rsidRDefault="00000000" w:rsidRPr="00000000" w14:paraId="00000017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18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Reconocimientos nacionales e internacionales (premios, fondos concursables, diplomas, etc.), de la personería jurídica vigente o sus miembros legales actuales.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both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Número de reconocimientos</w:t>
                </w:r>
              </w:p>
            </w:tc>
            <w:tc>
              <w:tcPr>
                <w:tcBorders>
                  <w:left w:color="000000" w:space="0" w:sz="8" w:val="single"/>
                </w:tcBorders>
                <w:vAlign w:val="top"/>
              </w:tcPr>
              <w:p w:rsidR="00000000" w:rsidDel="00000000" w:rsidP="00000000" w:rsidRDefault="00000000" w:rsidRPr="00000000" w14:paraId="0000001B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1C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Participación en festivales, muestras o encuentros, de la personería jurídica vigente o sus miembros legales actuales.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both"/>
                  <w:rPr>
                    <w:rFonts w:ascii="Arial Narrow" w:cs="Arial Narrow" w:eastAsia="Arial Narrow" w:hAnsi="Arial Narrow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2"/>
                    <w:szCs w:val="22"/>
                    <w:rtl w:val="0"/>
                  </w:rPr>
                  <w:t xml:space="preserve">Número de festivales, muestras o encuentros en que ha participado</w:t>
                </w:r>
              </w:p>
            </w:tc>
            <w:tc>
              <w:tcPr>
                <w:tcBorders>
                  <w:left w:color="000000" w:space="0" w:sz="8" w:val="single"/>
                </w:tcBorders>
                <w:vAlign w:val="top"/>
              </w:tcPr>
              <w:p w:rsidR="00000000" w:rsidDel="00000000" w:rsidP="00000000" w:rsidRDefault="00000000" w:rsidRPr="00000000" w14:paraId="0000001F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20">
                <w:pPr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843" w:top="2196.850393700787" w:left="1440" w:right="15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Fonts w:ascii="Arial Narrow" w:cs="Arial Narrow" w:eastAsia="Arial Narrow" w:hAnsi="Arial Narrow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-435.0415767407057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66675</wp:posOffset>
          </wp:positionH>
          <wp:positionV relativeFrom="page">
            <wp:posOffset>14719</wp:posOffset>
          </wp:positionV>
          <wp:extent cx="7553325" cy="106756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0675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 Concurso público: Fomento para el uso de espacios de la CCE 202</w:t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76" w:lineRule="auto"/>
      <w:ind w:left="0" w:right="-435.0415767407057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Categoría: Cogestión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-435.0415767407057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30"/>
        <w:szCs w:val="30"/>
        <w:rtl w:val="0"/>
      </w:rPr>
      <w:t xml:space="preserve">COMPONENTES DE TRAYECTORIA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">
    <w:name w:val="Body"/>
    <w:next w:val="Body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es-EC" w:val="es-E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4O6PH47Lp9Bd6neri9ASGYehg==">CgMxLjAaHwoBMBIaChgICVIUChJ0YWJsZS50djQ4d3BlbmZmMXA4AHIhMVNMMGNrdUtITkRjUUgyMXh3RmFjNy0tbnIwVWtRUW11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2025-01-10T21:30:00Z</dcterms:created>
  <dc:creator>Esperanza Maldonado</dc:creator>
</cp:coreProperties>
</file>